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75A9AA48" w:rsidR="00731946" w:rsidRPr="009F4785" w:rsidRDefault="00B12A77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proofErr w:type="gramStart"/>
      <w:r>
        <w:rPr>
          <w:snapToGrid/>
          <w:color w:val="000000" w:themeColor="text1"/>
          <w:sz w:val="24"/>
          <w:szCs w:val="24"/>
          <w:lang w:val="en-US"/>
        </w:rPr>
        <w:t>1</w:t>
      </w:r>
      <w:r w:rsidR="001468C7">
        <w:rPr>
          <w:snapToGrid/>
          <w:color w:val="000000" w:themeColor="text1"/>
          <w:sz w:val="24"/>
          <w:szCs w:val="24"/>
        </w:rPr>
        <w:t>6</w:t>
      </w:r>
      <w:r w:rsidR="00731946">
        <w:rPr>
          <w:snapToGrid/>
          <w:color w:val="000000" w:themeColor="text1"/>
          <w:sz w:val="24"/>
          <w:szCs w:val="24"/>
        </w:rPr>
        <w:t>.1</w:t>
      </w:r>
      <w:r>
        <w:rPr>
          <w:snapToGrid/>
          <w:color w:val="000000" w:themeColor="text1"/>
          <w:sz w:val="24"/>
          <w:szCs w:val="24"/>
          <w:lang w:val="en-US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.2020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  <w:proofErr w:type="gramEnd"/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0BBC7ECD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2F32A3">
        <w:rPr>
          <w:color w:val="000000" w:themeColor="text1"/>
          <w:sz w:val="32"/>
          <w:szCs w:val="32"/>
        </w:rPr>
        <w:t>Кирпич, цемент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351988B3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B12A77" w:rsidRPr="001468C7">
        <w:rPr>
          <w:b/>
          <w:sz w:val="32"/>
          <w:szCs w:val="32"/>
        </w:rPr>
        <w:t>68</w:t>
      </w:r>
      <w:r w:rsidR="00731946" w:rsidRPr="00731946">
        <w:rPr>
          <w:b/>
          <w:sz w:val="32"/>
          <w:szCs w:val="32"/>
        </w:rPr>
        <w:t>-20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3CD3AB2" w:rsidR="007C7DEF" w:rsidRPr="009E192C" w:rsidRDefault="002F32A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23.32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7079B94" w:rsidR="007C7DEF" w:rsidRPr="009E192C" w:rsidRDefault="002F32A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23.32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F891E6B" w:rsidR="00987CF8" w:rsidRPr="00F31E4E" w:rsidRDefault="00F31E4E" w:rsidP="002F32A3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2F32A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Кирпич, цемент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10F08154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1468C7">
              <w:rPr>
                <w:b/>
                <w:sz w:val="20"/>
                <w:szCs w:val="20"/>
              </w:rPr>
              <w:t>306 816,4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При этом в НМЦ включе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68C7">
      <w:rPr>
        <w:noProof/>
      </w:rPr>
      <w:t>7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8C7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77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31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3C249-8899-4EAB-ADF5-AC31AF2C5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14</Pages>
  <Words>4891</Words>
  <Characters>33119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162</cp:revision>
  <cp:lastPrinted>2019-02-04T06:44:00Z</cp:lastPrinted>
  <dcterms:created xsi:type="dcterms:W3CDTF">2019-02-07T06:22:00Z</dcterms:created>
  <dcterms:modified xsi:type="dcterms:W3CDTF">2020-11-16T11:42:00Z</dcterms:modified>
</cp:coreProperties>
</file>